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C0148" w14:textId="77777777" w:rsidR="002463FC" w:rsidRDefault="00000000">
      <w:pPr>
        <w:pStyle w:val="a3"/>
        <w:spacing w:line="206" w:lineRule="auto"/>
        <w:ind w:left="0" w:right="108"/>
        <w:rPr>
          <w:rFonts w:ascii="Minion Pro" w:hAnsi="Minion Pro"/>
          <w:b/>
          <w:bCs/>
          <w:color w:val="000000" w:themeColor="text1"/>
          <w:w w:val="105"/>
        </w:rPr>
      </w:pPr>
      <w:r>
        <w:rPr>
          <w:rFonts w:ascii="Minion Pro" w:eastAsia="宋体" w:hAnsi="Minion Pro" w:hint="eastAsia"/>
          <w:b/>
          <w:bCs/>
          <w:color w:val="000000" w:themeColor="text1"/>
          <w:w w:val="105"/>
          <w:lang w:eastAsia="zh-CN"/>
        </w:rPr>
        <w:t>OR-44085-</w:t>
      </w:r>
      <w:r>
        <w:rPr>
          <w:rFonts w:ascii="Minion Pro" w:hAnsi="Minion Pro"/>
          <w:b/>
          <w:bCs/>
          <w:color w:val="000000" w:themeColor="text1"/>
          <w:w w:val="105"/>
        </w:rPr>
        <w:t>Supplementary Materials</w:t>
      </w:r>
    </w:p>
    <w:p w14:paraId="550A17EC" w14:textId="77777777" w:rsidR="002463FC" w:rsidRDefault="002463FC">
      <w:pPr>
        <w:pStyle w:val="a3"/>
        <w:spacing w:line="206" w:lineRule="auto"/>
        <w:ind w:right="108"/>
        <w:rPr>
          <w:rFonts w:ascii="Minion Pro" w:hAnsi="Minion Pro"/>
          <w:b/>
          <w:bCs/>
          <w:color w:val="000000" w:themeColor="text1"/>
          <w:w w:val="105"/>
        </w:rPr>
      </w:pPr>
    </w:p>
    <w:p w14:paraId="7F44A0CE" w14:textId="12788ADE" w:rsidR="002463FC" w:rsidRDefault="002463FC">
      <w:pPr>
        <w:pStyle w:val="a3"/>
        <w:spacing w:line="206" w:lineRule="auto"/>
        <w:ind w:right="108"/>
        <w:jc w:val="center"/>
        <w:rPr>
          <w:rFonts w:ascii="Minion Pro" w:hAnsi="Minion Pro"/>
          <w:b/>
          <w:bCs/>
          <w:color w:val="000000" w:themeColor="text1"/>
          <w:w w:val="105"/>
        </w:rPr>
      </w:pPr>
    </w:p>
    <w:p w14:paraId="06DA0A82" w14:textId="77777777" w:rsidR="002463FC" w:rsidRDefault="00000000">
      <w:pPr>
        <w:pStyle w:val="a3"/>
        <w:spacing w:line="206" w:lineRule="auto"/>
        <w:ind w:left="0" w:right="108"/>
        <w:jc w:val="both"/>
        <w:rPr>
          <w:rFonts w:ascii="Minion Pro" w:hAnsi="Minion Pro"/>
          <w:color w:val="000000" w:themeColor="text1"/>
          <w:w w:val="105"/>
        </w:rPr>
      </w:pPr>
      <w:r>
        <w:rPr>
          <w:rFonts w:ascii="Minion Pro" w:hAnsi="Minion Pro"/>
          <w:b/>
          <w:bCs/>
          <w:color w:val="000000" w:themeColor="text1"/>
          <w:w w:val="105"/>
        </w:rPr>
        <w:t xml:space="preserve">FIGURE </w:t>
      </w:r>
      <w:r>
        <w:rPr>
          <w:rFonts w:ascii="Minion Pro" w:hAnsi="Minion Pro" w:hint="eastAsia"/>
          <w:b/>
          <w:bCs/>
          <w:color w:val="000000" w:themeColor="text1"/>
          <w:w w:val="105"/>
        </w:rPr>
        <w:t>S</w:t>
      </w:r>
      <w:r>
        <w:rPr>
          <w:rFonts w:ascii="Minion Pro" w:hAnsi="Minion Pro"/>
          <w:b/>
          <w:bCs/>
          <w:color w:val="000000" w:themeColor="text1"/>
          <w:w w:val="105"/>
        </w:rPr>
        <w:t>1.</w:t>
      </w:r>
      <w:r>
        <w:rPr>
          <w:rFonts w:ascii="Minion Pro" w:hAnsi="Minion Pro"/>
          <w:color w:val="000000" w:themeColor="text1"/>
          <w:w w:val="105"/>
        </w:rPr>
        <w:t xml:space="preserve"> Genome-wide miRNA expression profiling conducted on a panel of cell lines including human mesenchymal stem cells (</w:t>
      </w:r>
      <w:proofErr w:type="spellStart"/>
      <w:r>
        <w:rPr>
          <w:rFonts w:ascii="Minion Pro" w:hAnsi="Minion Pro"/>
          <w:color w:val="000000" w:themeColor="text1"/>
          <w:w w:val="105"/>
        </w:rPr>
        <w:t>hMSCs</w:t>
      </w:r>
      <w:proofErr w:type="spellEnd"/>
      <w:r>
        <w:rPr>
          <w:rFonts w:ascii="Minion Pro" w:hAnsi="Minion Pro"/>
          <w:color w:val="000000" w:themeColor="text1"/>
          <w:w w:val="105"/>
        </w:rPr>
        <w:t xml:space="preserve">) and five distinct osteosarcoma cell lines (MG-63, HOS, NY, </w:t>
      </w:r>
      <w:proofErr w:type="spellStart"/>
      <w:r>
        <w:rPr>
          <w:rFonts w:ascii="Minion Pro" w:hAnsi="Minion Pro"/>
          <w:color w:val="000000" w:themeColor="text1"/>
          <w:w w:val="105"/>
        </w:rPr>
        <w:t>SaOS</w:t>
      </w:r>
      <w:proofErr w:type="spellEnd"/>
      <w:r>
        <w:rPr>
          <w:rFonts w:ascii="Minion Pro" w:hAnsi="Minion Pro"/>
          <w:color w:val="000000" w:themeColor="text1"/>
          <w:w w:val="105"/>
        </w:rPr>
        <w:t xml:space="preserve">, and Hu09). </w:t>
      </w:r>
    </w:p>
    <w:p w14:paraId="75D1C084" w14:textId="77777777" w:rsidR="002463FC" w:rsidRDefault="002463FC">
      <w:pPr>
        <w:pStyle w:val="a3"/>
        <w:spacing w:line="206" w:lineRule="auto"/>
        <w:ind w:right="108"/>
        <w:rPr>
          <w:rFonts w:ascii="Minion Pro" w:hAnsi="Minion Pro"/>
          <w:color w:val="000000" w:themeColor="text1"/>
          <w:w w:val="105"/>
        </w:rPr>
      </w:pPr>
    </w:p>
    <w:p w14:paraId="0AD37700" w14:textId="35742404" w:rsidR="002463FC" w:rsidRDefault="002463FC">
      <w:pPr>
        <w:pStyle w:val="a3"/>
        <w:spacing w:line="206" w:lineRule="auto"/>
        <w:ind w:right="108"/>
        <w:jc w:val="center"/>
        <w:rPr>
          <w:rFonts w:ascii="Minion Pro" w:hAnsi="Minion Pro"/>
          <w:color w:val="000000" w:themeColor="text1"/>
          <w:w w:val="105"/>
        </w:rPr>
      </w:pPr>
    </w:p>
    <w:p w14:paraId="6D88F5F7" w14:textId="77777777" w:rsidR="002463FC" w:rsidRDefault="00000000">
      <w:pPr>
        <w:pStyle w:val="a3"/>
        <w:spacing w:line="206" w:lineRule="auto"/>
        <w:ind w:left="0" w:right="108"/>
        <w:jc w:val="both"/>
        <w:rPr>
          <w:rFonts w:ascii="Minion Pro" w:hAnsi="Minion Pro"/>
          <w:color w:val="000000" w:themeColor="text1"/>
          <w:w w:val="105"/>
        </w:rPr>
      </w:pPr>
      <w:r>
        <w:rPr>
          <w:rFonts w:ascii="Minion Pro" w:hAnsi="Minion Pro"/>
          <w:b/>
          <w:bCs/>
          <w:color w:val="000000" w:themeColor="text1"/>
          <w:w w:val="105"/>
        </w:rPr>
        <w:t>FIGURE S2.</w:t>
      </w:r>
      <w:r>
        <w:rPr>
          <w:rFonts w:ascii="Minion Pro" w:hAnsi="Minion Pro"/>
          <w:color w:val="000000" w:themeColor="text1"/>
          <w:w w:val="105"/>
        </w:rPr>
        <w:t xml:space="preserve"> Whole-genome mRNA profile illustrating the expression pattern of transcription factor 7-like 1 (TCF7L1) and its related genes in both human mesenchymal stem cells (</w:t>
      </w:r>
      <w:proofErr w:type="spellStart"/>
      <w:r>
        <w:rPr>
          <w:rFonts w:ascii="Minion Pro" w:hAnsi="Minion Pro"/>
          <w:color w:val="000000" w:themeColor="text1"/>
          <w:w w:val="105"/>
        </w:rPr>
        <w:t>hMSCs</w:t>
      </w:r>
      <w:proofErr w:type="spellEnd"/>
      <w:r>
        <w:rPr>
          <w:rFonts w:ascii="Minion Pro" w:hAnsi="Minion Pro"/>
          <w:color w:val="000000" w:themeColor="text1"/>
          <w:w w:val="105"/>
        </w:rPr>
        <w:t>) and osteosarcoma cells. On the heat map depicting the relative expression, the color red indicates an upregulation, whereas the color blue indicates a downregulation.</w:t>
      </w:r>
    </w:p>
    <w:p w14:paraId="3A51030F" w14:textId="77777777" w:rsidR="002463FC" w:rsidRDefault="002463FC">
      <w:pPr>
        <w:pStyle w:val="a3"/>
        <w:spacing w:line="206" w:lineRule="auto"/>
        <w:ind w:right="108"/>
        <w:rPr>
          <w:rFonts w:ascii="Minion Pro" w:hAnsi="Minion Pro"/>
          <w:color w:val="000000" w:themeColor="text1"/>
          <w:w w:val="105"/>
        </w:rPr>
      </w:pPr>
    </w:p>
    <w:p w14:paraId="50EF39E1" w14:textId="43967E3A" w:rsidR="002463FC" w:rsidRDefault="002463FC">
      <w:pPr>
        <w:pStyle w:val="a3"/>
        <w:spacing w:line="206" w:lineRule="auto"/>
        <w:ind w:right="108"/>
        <w:jc w:val="center"/>
        <w:rPr>
          <w:rFonts w:ascii="Minion Pro" w:hAnsi="Minion Pro"/>
          <w:color w:val="000000" w:themeColor="text1"/>
          <w:w w:val="105"/>
        </w:rPr>
      </w:pPr>
    </w:p>
    <w:p w14:paraId="048C4801" w14:textId="77777777" w:rsidR="002463FC" w:rsidRDefault="00000000">
      <w:pPr>
        <w:pStyle w:val="a3"/>
        <w:spacing w:line="206" w:lineRule="auto"/>
        <w:ind w:left="0" w:right="108"/>
        <w:jc w:val="both"/>
        <w:rPr>
          <w:rFonts w:ascii="Minion Pro" w:hAnsi="Minion Pro"/>
          <w:b/>
          <w:bCs/>
          <w:color w:val="000000" w:themeColor="text1"/>
          <w:w w:val="105"/>
        </w:rPr>
      </w:pPr>
      <w:r>
        <w:rPr>
          <w:rFonts w:ascii="Minion Pro" w:hAnsi="Minion Pro"/>
          <w:b/>
          <w:bCs/>
          <w:color w:val="000000" w:themeColor="text1"/>
          <w:w w:val="105"/>
        </w:rPr>
        <w:t xml:space="preserve">FIGURE </w:t>
      </w:r>
      <w:r>
        <w:rPr>
          <w:rFonts w:ascii="Minion Pro" w:hAnsi="Minion Pro" w:hint="eastAsia"/>
          <w:b/>
          <w:bCs/>
          <w:color w:val="000000" w:themeColor="text1"/>
          <w:w w:val="105"/>
        </w:rPr>
        <w:t>S</w:t>
      </w:r>
      <w:r>
        <w:rPr>
          <w:rFonts w:ascii="Minion Pro" w:hAnsi="Minion Pro"/>
          <w:b/>
          <w:bCs/>
          <w:color w:val="000000" w:themeColor="text1"/>
          <w:w w:val="105"/>
        </w:rPr>
        <w:t xml:space="preserve">3. </w:t>
      </w:r>
      <w:r>
        <w:rPr>
          <w:rFonts w:ascii="Minion Pro" w:hAnsi="Minion Pro"/>
          <w:color w:val="000000" w:themeColor="text1"/>
          <w:w w:val="105"/>
        </w:rPr>
        <w:t>Reciprocal correlation analysis between miR-329-3p and transcription factor 7-like 1 (TCF7L1) in The Cancer Genome Atlas (TCGA) data and its prognostic implications in sarcoma.</w:t>
      </w:r>
      <w:r>
        <w:rPr>
          <w:rFonts w:ascii="Segoe UI" w:hAnsi="Segoe UI" w:cs="Segoe UI"/>
          <w:color w:val="374151"/>
          <w:sz w:val="22"/>
          <w:szCs w:val="22"/>
          <w:shd w:val="clear" w:color="auto" w:fill="F7F7F8"/>
        </w:rPr>
        <w:t xml:space="preserve"> </w:t>
      </w:r>
      <w:r>
        <w:rPr>
          <w:rFonts w:ascii="Minion Pro" w:hAnsi="Minion Pro"/>
          <w:color w:val="000000" w:themeColor="text1"/>
          <w:w w:val="105"/>
        </w:rPr>
        <w:t>Note the potential heterogeneity within sarcomas and osteosarcomas. Variations in gene expression profiles may arise due to the diverse molecular subtypes and genetic alterations present in these malignancies. (A) Co-expression investigation depicting the relationship between hsa-miR-329-3p and TCF7L1. miRNA-seq data-derived expression values were log2-scaled (log2(RPM + 0.01)). (B) Distribution pattern of miR-329-3p in sarcoma tissues, categorized based on high and low (50:50) TCF7L1 expression. (C) Assessment of the impact of miR-329-3p expression on overall patient survival in the context of sarcoma. (D) Evaluation of TCF7L1 expression's association with overall patient survival in sarcoma. The Wilcoxon test was utilized for intergroup statistical comparison. (****</w:t>
      </w:r>
      <w:r>
        <w:rPr>
          <w:rFonts w:ascii="Minion Pro" w:hAnsi="Minion Pro"/>
          <w:i/>
          <w:iCs/>
          <w:color w:val="000000" w:themeColor="text1"/>
          <w:w w:val="105"/>
        </w:rPr>
        <w:t>p</w:t>
      </w:r>
      <w:r>
        <w:rPr>
          <w:rFonts w:ascii="Minion Pro" w:hAnsi="Minion Pro"/>
          <w:color w:val="000000" w:themeColor="text1"/>
          <w:w w:val="105"/>
        </w:rPr>
        <w:t> &lt; 0.0001).</w:t>
      </w:r>
    </w:p>
    <w:p w14:paraId="14B30AFC" w14:textId="77777777" w:rsidR="002463FC" w:rsidRDefault="002463FC">
      <w:pPr>
        <w:pStyle w:val="a3"/>
        <w:spacing w:line="206" w:lineRule="auto"/>
        <w:ind w:right="108"/>
        <w:rPr>
          <w:rFonts w:ascii="Minion Pro" w:hAnsi="Minion Pro"/>
          <w:b/>
          <w:bCs/>
          <w:color w:val="000000" w:themeColor="text1"/>
          <w:w w:val="105"/>
        </w:rPr>
      </w:pPr>
    </w:p>
    <w:p w14:paraId="33B91700" w14:textId="7F754990" w:rsidR="002463FC" w:rsidRDefault="002463FC">
      <w:pPr>
        <w:pStyle w:val="a3"/>
        <w:spacing w:line="206" w:lineRule="auto"/>
        <w:ind w:right="108"/>
        <w:jc w:val="center"/>
        <w:rPr>
          <w:rFonts w:ascii="Minion Pro" w:hAnsi="Minion Pro"/>
          <w:b/>
          <w:bCs/>
          <w:color w:val="000000" w:themeColor="text1"/>
          <w:w w:val="105"/>
        </w:rPr>
      </w:pPr>
    </w:p>
    <w:p w14:paraId="5EB43057" w14:textId="77777777" w:rsidR="002463FC" w:rsidRDefault="00000000">
      <w:pPr>
        <w:pStyle w:val="a3"/>
        <w:spacing w:line="206" w:lineRule="auto"/>
        <w:ind w:left="0" w:right="108"/>
        <w:jc w:val="both"/>
      </w:pPr>
      <w:r>
        <w:rPr>
          <w:rFonts w:ascii="Minion Pro" w:hAnsi="Minion Pro"/>
          <w:b/>
          <w:bCs/>
          <w:color w:val="000000" w:themeColor="text1"/>
          <w:w w:val="105"/>
        </w:rPr>
        <w:t>FIGURE S4.</w:t>
      </w:r>
      <w:r>
        <w:rPr>
          <w:rFonts w:ascii="Times New Roman" w:eastAsiaTheme="minorEastAsia" w:hAnsi="Times New Roman" w:cstheme="minorBidi"/>
          <w:bCs/>
          <w:sz w:val="24"/>
          <w:szCs w:val="24"/>
        </w:rPr>
        <w:t xml:space="preserve"> </w:t>
      </w:r>
      <w:r>
        <w:rPr>
          <w:rFonts w:ascii="Minion Pro" w:hAnsi="Minion Pro"/>
          <w:bCs/>
          <w:color w:val="000000" w:themeColor="text1"/>
          <w:w w:val="105"/>
        </w:rPr>
        <w:t>Schematic representation of miR-329-3p. Depiction of the stem-loop structure of hsa-mir-329 precursor and the mature structure of miR-329-3p.</w:t>
      </w:r>
    </w:p>
    <w:sectPr w:rsidR="002463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ion Pro">
    <w:panose1 w:val="02040503050201020203"/>
    <w:charset w:val="00"/>
    <w:family w:val="roman"/>
    <w:notTrueType/>
    <w:pitch w:val="variable"/>
    <w:sig w:usb0="E00002AF" w:usb1="5000E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kNzQ4ZWFiZmQ4NTRhOWRkZTk3YTMwMjlmMmZhYmUifQ=="/>
  </w:docVars>
  <w:rsids>
    <w:rsidRoot w:val="560620B5"/>
    <w:rsid w:val="002463FC"/>
    <w:rsid w:val="009D2A87"/>
    <w:rsid w:val="1FB6316D"/>
    <w:rsid w:val="1FD249AA"/>
    <w:rsid w:val="28AA3FD9"/>
    <w:rsid w:val="2FCA72C2"/>
    <w:rsid w:val="33D96AB3"/>
    <w:rsid w:val="4CA010CC"/>
    <w:rsid w:val="528168C7"/>
    <w:rsid w:val="560620B5"/>
    <w:rsid w:val="56981066"/>
    <w:rsid w:val="5C883B30"/>
    <w:rsid w:val="641D4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75BD0"/>
  <w15:docId w15:val="{6405B5C7-AFDB-41BB-AB51-4065F0F0F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pPr>
    <w:rPr>
      <w:rFonts w:ascii="PMingLiU" w:eastAsia="PMingLiU" w:hAnsi="PMingLiU" w:cs="PMingLiU"/>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03"/>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Daisy</dc:creator>
  <cp:lastModifiedBy>TSP TSP</cp:lastModifiedBy>
  <cp:revision>3</cp:revision>
  <dcterms:created xsi:type="dcterms:W3CDTF">2023-11-30T08:05:00Z</dcterms:created>
  <dcterms:modified xsi:type="dcterms:W3CDTF">2023-12-20T07:41:00Z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7C9CF2184F244692BFED25DD5F6C985D_11</vt:lpwstr>
  </property>
</Properties>
</file>